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EE58B4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66A5D880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5E2FE68B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  <w:r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  <w:drawing>
          <wp:inline distT="0" distB="0" distL="114300" distR="114300">
            <wp:extent cx="7068820" cy="661035"/>
            <wp:effectExtent l="0" t="0" r="0" b="0"/>
            <wp:docPr id="5" name="图片 5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十四五国规标"/>
                    <pic:cNvPicPr>
                      <a:picLocks noChangeAspect="1"/>
                    </pic:cNvPicPr>
                  </pic:nvPicPr>
                  <pic:blipFill>
                    <a:blip r:embed="rId6"/>
                    <a:srcRect t="46761" b="46627"/>
                    <a:stretch>
                      <a:fillRect/>
                    </a:stretch>
                  </pic:blipFill>
                  <pic:spPr>
                    <a:xfrm>
                      <a:off x="0" y="0"/>
                      <a:ext cx="7068820" cy="66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45871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</w:p>
    <w:p w14:paraId="26881B23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</w:p>
    <w:p w14:paraId="5E81C5F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  <w:r>
        <w:rPr>
          <w:rFonts w:hint="eastAsia" w:ascii="汉仪菱心体简" w:hAnsi="汉仪菱心体简" w:eastAsia="汉仪菱心体简" w:cs="汉仪菱心体简"/>
          <w:i w:val="0"/>
          <w:caps w:val="0"/>
          <w:color w:val="6787B2"/>
          <w:spacing w:val="0"/>
          <w:sz w:val="84"/>
          <w:szCs w:val="84"/>
          <w:shd w:val="clear" w:fill="FFFFFF"/>
          <w:lang w:val="en-US" w:eastAsia="zh-CN"/>
        </w:rPr>
        <w:t>教案</w:t>
      </w:r>
    </w:p>
    <w:p w14:paraId="412EDB9B">
      <w:pPr>
        <w:keepNext/>
        <w:keepLines/>
        <w:spacing w:before="260" w:after="260" w:line="240" w:lineRule="auto"/>
        <w:jc w:val="center"/>
        <w:outlineLvl w:val="1"/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  <w:t>护理学基础</w:t>
      </w:r>
    </w:p>
    <w:p w14:paraId="1DE0F138">
      <w:pPr>
        <w:keepNext/>
        <w:keepLines/>
        <w:spacing w:before="260" w:after="260" w:line="240" w:lineRule="auto"/>
        <w:jc w:val="center"/>
        <w:outlineLvl w:val="1"/>
        <w:rPr>
          <w:rFonts w:hint="default" w:ascii="Times New Roman" w:hAnsi="Times New Roman" w:eastAsia="宋体"/>
          <w:b/>
          <w:bCs/>
          <w:color w:val="2E75B6" w:themeColor="accent1" w:themeShade="BF"/>
          <w:sz w:val="52"/>
          <w:szCs w:val="52"/>
          <w:lang w:val="en-US" w:eastAsia="zh-CN"/>
        </w:rPr>
      </w:pPr>
      <w:r>
        <w:rPr>
          <w:rFonts w:hint="eastAsia" w:ascii="Times New Roman" w:hAnsi="Times New Roman"/>
          <w:b/>
          <w:bCs/>
          <w:color w:val="2E75B6" w:themeColor="accent1" w:themeShade="BF"/>
          <w:sz w:val="52"/>
          <w:szCs w:val="52"/>
          <w:lang w:eastAsia="zh-CN"/>
        </w:rPr>
        <w:t>（</w:t>
      </w:r>
      <w:r>
        <w:rPr>
          <w:rFonts w:hint="eastAsia" w:ascii="Times New Roman" w:hAnsi="Times New Roman"/>
          <w:b/>
          <w:bCs/>
          <w:color w:val="2E75B6" w:themeColor="accent1" w:themeShade="BF"/>
          <w:sz w:val="52"/>
          <w:szCs w:val="52"/>
          <w:lang w:val="en-US" w:eastAsia="zh-CN"/>
        </w:rPr>
        <w:t>第二版）</w:t>
      </w:r>
    </w:p>
    <w:p w14:paraId="7F875E9A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2576892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00F1166D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3D194E08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17BE5798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  <w:r>
        <w:rPr>
          <w:rFonts w:hint="eastAsia" w:ascii="Times New Roman" w:hAnsi="Times New Roman"/>
          <w:b/>
          <w:bCs/>
          <w:color w:val="8FAADC" w:themeColor="accent5" w:themeTint="99"/>
          <w:sz w:val="28"/>
          <w:szCs w:val="28"/>
          <w:lang w:val="en-US" w:eastAsia="zh-CN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北京出版社</w:t>
      </w:r>
    </w:p>
    <w:p w14:paraId="4CE1FFFF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</w:p>
    <w:p w14:paraId="45BEE8F2">
      <w:pPr>
        <w:pStyle w:val="3"/>
        <w:bidi w:val="0"/>
        <w:jc w:val="center"/>
        <w:rPr>
          <w:rFonts w:hint="eastAsia"/>
          <w:sz w:val="52"/>
          <w:szCs w:val="52"/>
          <w:lang w:eastAsia="zh-CN"/>
        </w:rPr>
      </w:pPr>
      <w:r>
        <w:rPr>
          <w:rFonts w:hint="eastAsia"/>
          <w:sz w:val="52"/>
          <w:szCs w:val="52"/>
          <w:lang w:eastAsia="zh-CN"/>
        </w:rPr>
        <w:t>课时分配表</w:t>
      </w:r>
    </w:p>
    <w:tbl>
      <w:tblPr>
        <w:tblStyle w:val="11"/>
        <w:tblW w:w="10205" w:type="dxa"/>
        <w:jc w:val="center"/>
        <w:tblBorders>
          <w:top w:val="double" w:color="4472C4" w:themeColor="accent5" w:sz="4" w:space="0"/>
          <w:left w:val="double" w:color="4472C4" w:themeColor="accent5" w:sz="4" w:space="0"/>
          <w:bottom w:val="double" w:color="4472C4" w:themeColor="accent5" w:sz="4" w:space="0"/>
          <w:right w:val="double" w:color="4472C4" w:themeColor="accent5" w:sz="4" w:space="0"/>
          <w:insideH w:val="single" w:color="4472C4" w:themeColor="accent5" w:sz="8" w:space="0"/>
          <w:insideV w:val="single" w:color="4472C4" w:themeColor="accent5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6"/>
        <w:gridCol w:w="5269"/>
        <w:gridCol w:w="1735"/>
        <w:gridCol w:w="2025"/>
      </w:tblGrid>
      <w:tr w14:paraId="387E77C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735CD68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章序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5C161E8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课程内容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437AAF3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课时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186FE5C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备注</w:t>
            </w:r>
          </w:p>
        </w:tc>
      </w:tr>
      <w:tr w14:paraId="184BB402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2A4E5F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8DFBCA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绪论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36EB78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A60FCB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2645123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638EEA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6E42A42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护理程序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B91DFA2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F13B75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45E5E5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53CA4F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0C498E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医院和住院环境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245B2E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5A8974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A9E111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7D9028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032614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入院和出院患者的护理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6A6D0D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225E7A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AF3C5A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FCAE95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231B1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卧位与安全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EC0B8D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0C15ED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77C2838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3D45C5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D3E4AB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医院内感染的预防与控制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C4076A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32D4F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3BBD8C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A1258A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7C4A5CB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药物疗法和过敏试验法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8AFE7C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758E83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289623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7EC2E6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D68F4D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静脉输液和输血法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C16A92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56C36D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499B7F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28A314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2B7B3E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生命体征的评估及护理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69F5E8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5E0D6F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40E2CB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A0A9F0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8AA19A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患者的清洁护理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7254C8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9F74BD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E8D82B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A87BB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E0DA8D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饮食护理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3E39F5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56D354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4E29B39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028FE1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7141D8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排泄护理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9C1AAC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B5135F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A899F9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325467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D3BF6B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标本采集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2BB42E4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6249B0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404C3E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DD8318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6767CD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冷热疗法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9C0E92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99BD9D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8C4344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07AB0A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34D5B1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病情观察和危重患者的抢救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99283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2474C9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0BBC5C5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CD873F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316132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临终患者的护理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D3E4F7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6AF505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E30526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4071B7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1AAD8D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医疗和护理文件书写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8B0DDB2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9F5B43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B0A848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15A296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总计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20942A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FC6461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180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823F74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4C7BE318">
      <w:pPr>
        <w:rPr>
          <w:rFonts w:hint="eastAsia" w:ascii="黑体" w:hAnsi="黑体" w:eastAsia="黑体" w:cs="黑体"/>
          <w:b/>
          <w:bCs/>
          <w:color w:val="000000" w:themeColor="text1"/>
          <w:sz w:val="44"/>
          <w:szCs w:val="44"/>
          <w:lang w:eastAsia="zh-CN"/>
          <w14:textFill>
            <w14:solidFill>
              <w14:schemeClr w14:val="tx1"/>
            </w14:solidFill>
          </w14:textFill>
        </w:rPr>
      </w:pPr>
    </w:p>
    <w:p w14:paraId="5F3F8945">
      <w:pPr>
        <w:rPr>
          <w:rFonts w:hint="eastAsia" w:ascii="微软简老宋" w:hAnsi="微软简老宋" w:eastAsia="微软简老宋" w:cs="微软简老宋"/>
          <w:b w:val="0"/>
          <w:bCs w:val="0"/>
          <w:color w:val="00B0F0"/>
          <w:sz w:val="32"/>
          <w:szCs w:val="32"/>
        </w:rPr>
      </w:pPr>
      <w:r>
        <w:rPr>
          <w:rFonts w:hint="eastAsia" w:ascii="微软简老宋" w:hAnsi="微软简老宋" w:eastAsia="微软简老宋" w:cs="微软简老宋"/>
          <w:b w:val="0"/>
          <w:bCs w:val="0"/>
          <w:color w:val="00B0F0"/>
          <w:sz w:val="32"/>
          <w:szCs w:val="32"/>
        </w:rPr>
        <w:br w:type="page"/>
      </w:r>
    </w:p>
    <w:p w14:paraId="7C01B318">
      <w:pPr>
        <w:pStyle w:val="3"/>
        <w:bidi w:val="0"/>
        <w:jc w:val="center"/>
        <w:rPr>
          <w:rFonts w:hint="eastAsia"/>
          <w:color w:val="6787B2"/>
          <w:lang w:eastAsia="zh-CN"/>
        </w:rPr>
      </w:pPr>
      <w:r>
        <w:rPr>
          <w:rFonts w:hint="eastAsia" w:ascii="Times New Roman" w:hAnsi="Times New Roman"/>
          <w:b/>
          <w:bCs/>
          <w:sz w:val="28"/>
          <w:szCs w:val="28"/>
        </w:rPr>
        <w:t>第</w:t>
      </w:r>
      <w:r>
        <w:rPr>
          <w:rFonts w:hint="eastAsia" w:ascii="Times New Roman" w:hAnsi="Times New Roman"/>
          <w:b/>
          <w:bCs/>
          <w:sz w:val="28"/>
          <w:szCs w:val="28"/>
          <w:lang w:val="en-US" w:eastAsia="zh-CN"/>
        </w:rPr>
        <w:t>13</w:t>
      </w:r>
      <w:r>
        <w:rPr>
          <w:rFonts w:hint="eastAsia" w:ascii="Times New Roman" w:hAnsi="Times New Roman"/>
          <w:b/>
          <w:bCs/>
          <w:sz w:val="28"/>
          <w:szCs w:val="28"/>
        </w:rPr>
        <w:t>课  标本采集</w:t>
      </w:r>
    </w:p>
    <w:tbl>
      <w:tblPr>
        <w:tblStyle w:val="10"/>
        <w:tblW w:w="10205" w:type="dxa"/>
        <w:jc w:val="center"/>
        <w:tblBorders>
          <w:top w:val="double" w:color="4472C4" w:themeColor="accent5" w:sz="4" w:space="0"/>
          <w:left w:val="double" w:color="4472C4" w:themeColor="accent5" w:sz="4" w:space="0"/>
          <w:bottom w:val="double" w:color="4472C4" w:themeColor="accent5" w:sz="4" w:space="0"/>
          <w:right w:val="double" w:color="4472C4" w:themeColor="accent5" w:sz="4" w:space="0"/>
          <w:insideH w:val="single" w:color="4472C4" w:themeColor="accent5" w:sz="4" w:space="0"/>
          <w:insideV w:val="single" w:color="4472C4" w:themeColor="accent5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1"/>
        <w:gridCol w:w="7014"/>
        <w:gridCol w:w="1650"/>
      </w:tblGrid>
      <w:tr w14:paraId="1BF7B5B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9BF051C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bookmarkStart w:id="0" w:name="_GoBack" w:colFirst="1" w:colLast="2"/>
            <w:r>
              <w:rPr>
                <w:rFonts w:hint="default" w:ascii="Times New Roman" w:hAnsi="宋体"/>
                <w:b/>
                <w:szCs w:val="20"/>
              </w:rPr>
              <w:t>课</w:t>
            </w:r>
            <w:r>
              <w:rPr>
                <w:rFonts w:hint="default" w:ascii="Times New Roman" w:hAnsi="Times New Roman"/>
                <w:b/>
                <w:szCs w:val="20"/>
              </w:rPr>
              <w:t xml:space="preserve">  </w:t>
            </w:r>
            <w:r>
              <w:rPr>
                <w:rFonts w:hint="eastAsia" w:ascii="Times New Roman" w:hAnsi="Times New Roman"/>
                <w:b/>
                <w:szCs w:val="20"/>
              </w:rPr>
              <w:t>题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579E0E9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标本采集</w:t>
            </w:r>
          </w:p>
        </w:tc>
      </w:tr>
      <w:tr w14:paraId="2289357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760147C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课</w:t>
            </w:r>
            <w:r>
              <w:rPr>
                <w:rFonts w:hint="eastAsia" w:ascii="Times New Roman" w:hAnsi="宋体"/>
                <w:b/>
                <w:szCs w:val="20"/>
              </w:rPr>
              <w:t xml:space="preserve"> </w:t>
            </w:r>
            <w:r>
              <w:rPr>
                <w:rFonts w:hint="default" w:ascii="Times New Roman" w:hAnsi="宋体"/>
                <w:b/>
                <w:szCs w:val="20"/>
              </w:rPr>
              <w:t xml:space="preserve"> 时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194F17A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  <w:lang w:val="en-US" w:eastAsia="zh-CN"/>
              </w:rPr>
              <w:t>8</w:t>
            </w:r>
            <w:r>
              <w:rPr>
                <w:rFonts w:hint="default" w:ascii="Times New Roman" w:hAnsi="宋体"/>
                <w:szCs w:val="20"/>
              </w:rPr>
              <w:t>课时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360</w:t>
            </w:r>
            <w:r>
              <w:rPr>
                <w:rFonts w:hint="eastAsia" w:ascii="Times New Roman" w:hAnsi="宋体"/>
                <w:szCs w:val="20"/>
              </w:rPr>
              <w:t xml:space="preserve"> min）。</w:t>
            </w:r>
          </w:p>
        </w:tc>
      </w:tr>
      <w:tr w14:paraId="0ECA7D82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4B9191DD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教学目标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4F55D56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</w:rPr>
            </w:pPr>
            <w:r>
              <w:rPr>
                <w:rFonts w:hint="default" w:hAnsi="宋体"/>
                <w:b/>
              </w:rPr>
              <w:t>知识</w:t>
            </w:r>
            <w:r>
              <w:rPr>
                <w:rFonts w:hint="eastAsia" w:hAnsi="宋体"/>
                <w:b/>
              </w:rPr>
              <w:t>技能</w:t>
            </w:r>
            <w:r>
              <w:rPr>
                <w:rFonts w:hint="default" w:hAnsi="宋体"/>
                <w:b/>
              </w:rPr>
              <w:t>目标：</w:t>
            </w:r>
          </w:p>
          <w:p w14:paraId="1E7E809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bCs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1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能复述标本采集的原则。</w:t>
            </w:r>
          </w:p>
          <w:p w14:paraId="47C2D29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2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能说出血液标本、尿液标本和粪便标本的种类及采集注意事项。</w:t>
            </w:r>
          </w:p>
          <w:p w14:paraId="4C6AE03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Times New Roman"/>
                <w:b/>
                <w:szCs w:val="20"/>
              </w:rPr>
              <w:t>思政育人目标</w:t>
            </w:r>
            <w:r>
              <w:rPr>
                <w:rFonts w:hint="eastAsia" w:ascii="Times New Roman" w:hAnsi="Times New Roman"/>
                <w:b/>
                <w:szCs w:val="20"/>
              </w:rPr>
              <w:t>：</w:t>
            </w:r>
          </w:p>
          <w:p w14:paraId="3F47BFD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-6" w:right="0" w:firstLine="420" w:firstLineChars="200"/>
              <w:textAlignment w:val="auto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bCs/>
                <w:szCs w:val="20"/>
              </w:rPr>
              <w:t>让学生通过学习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标本采集</w:t>
            </w:r>
            <w:r>
              <w:rPr>
                <w:rFonts w:hint="eastAsia" w:ascii="Times New Roman" w:hAnsi="宋体"/>
                <w:bCs/>
                <w:szCs w:val="20"/>
              </w:rPr>
              <w:t>，能够遵循标本采集的原则规范操作。</w:t>
            </w:r>
          </w:p>
        </w:tc>
      </w:tr>
      <w:tr w14:paraId="7D4B1FDB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C4164FA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宋体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教学重</w:t>
            </w:r>
            <w:r>
              <w:rPr>
                <w:rFonts w:hint="eastAsia" w:ascii="Times New Roman" w:hAnsi="宋体"/>
                <w:b/>
                <w:szCs w:val="20"/>
              </w:rPr>
              <w:t>难</w:t>
            </w:r>
            <w:r>
              <w:rPr>
                <w:rFonts w:hint="default" w:ascii="Times New Roman" w:hAnsi="宋体"/>
                <w:b/>
                <w:szCs w:val="20"/>
              </w:rPr>
              <w:t>点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572EA56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教学重点：</w:t>
            </w:r>
            <w:r>
              <w:rPr>
                <w:rFonts w:hint="eastAsia" w:ascii="宋体" w:hAnsi="宋体" w:cs="宋体"/>
                <w:kern w:val="0"/>
              </w:rPr>
              <w:t>标本采集的意义与原则</w:t>
            </w:r>
          </w:p>
          <w:p w14:paraId="18070C9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教学难点：</w:t>
            </w:r>
            <w:r>
              <w:rPr>
                <w:rFonts w:hint="eastAsia" w:ascii="宋体" w:hAnsi="宋体" w:cs="宋体"/>
                <w:kern w:val="0"/>
              </w:rPr>
              <w:t>各种标本采集法</w:t>
            </w:r>
          </w:p>
        </w:tc>
      </w:tr>
      <w:tr w14:paraId="0F2FF7E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574954DF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教学方法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5D463BF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讲授法、问答法、讨论法</w:t>
            </w:r>
          </w:p>
        </w:tc>
      </w:tr>
      <w:tr w14:paraId="0BC4F6D4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B151469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教学用具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1A79497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电脑、投影仪、</w:t>
            </w:r>
            <w:r>
              <w:rPr>
                <w:rFonts w:hint="default" w:ascii="Times New Roman" w:hAnsi="宋体"/>
                <w:szCs w:val="20"/>
              </w:rPr>
              <w:t>多媒体</w:t>
            </w:r>
            <w:r>
              <w:rPr>
                <w:rFonts w:hint="eastAsia" w:ascii="Times New Roman" w:hAnsi="宋体"/>
                <w:szCs w:val="20"/>
              </w:rPr>
              <w:t>课件、教材</w:t>
            </w:r>
          </w:p>
        </w:tc>
      </w:tr>
      <w:tr w14:paraId="33AA4276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bottom w:val="double" w:color="4472C4" w:themeColor="accent5" w:sz="4" w:space="0"/>
              <w:tl2br w:val="nil"/>
              <w:tr2bl w:val="nil"/>
            </w:tcBorders>
            <w:shd w:val="clear" w:color="auto" w:fill="D0E6FF"/>
            <w:vAlign w:val="center"/>
          </w:tcPr>
          <w:p w14:paraId="56922809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宋体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教学设计</w:t>
            </w:r>
          </w:p>
        </w:tc>
        <w:tc>
          <w:tcPr>
            <w:tcW w:w="7173" w:type="dxa"/>
            <w:gridSpan w:val="2"/>
            <w:tcBorders>
              <w:bottom w:val="double" w:color="4472C4" w:themeColor="accent5" w:sz="4" w:space="0"/>
              <w:tl2br w:val="nil"/>
              <w:tr2bl w:val="nil"/>
            </w:tcBorders>
            <w:vAlign w:val="center"/>
          </w:tcPr>
          <w:p w14:paraId="196C8EF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1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考勤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2</w:t>
            </w:r>
            <w:r>
              <w:rPr>
                <w:rFonts w:hint="eastAsia" w:ascii="Times New Roman" w:hAnsi="宋体"/>
                <w:szCs w:val="20"/>
              </w:rPr>
              <w:t>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default" w:ascii="Times New Roman" w:hAnsi="宋体"/>
                <w:szCs w:val="20"/>
              </w:rPr>
              <w:t>40</w:t>
            </w:r>
            <w:r>
              <w:rPr>
                <w:rFonts w:hint="eastAsia" w:ascii="Times New Roman" w:hAnsi="宋体"/>
                <w:szCs w:val="20"/>
              </w:rPr>
              <w:t>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--作业布置（3min）</w:t>
            </w:r>
          </w:p>
          <w:p w14:paraId="64F35E2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2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--作业布置（2min）</w:t>
            </w:r>
          </w:p>
          <w:p w14:paraId="4190EA6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szCs w:val="20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3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作业布置</w:t>
            </w:r>
            <w:r>
              <w:rPr>
                <w:rFonts w:hint="eastAsia" w:ascii="Times New Roman" w:hAnsi="宋体"/>
                <w:szCs w:val="20"/>
              </w:rPr>
              <w:t>（2min）</w:t>
            </w:r>
          </w:p>
          <w:p w14:paraId="2264BFC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4B9F3F3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5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33DD878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6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66F86E5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7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3EB5D23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8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</w:tc>
      </w:tr>
      <w:tr w14:paraId="138877F4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D0E6FF"/>
            <w:vAlign w:val="center"/>
          </w:tcPr>
          <w:p w14:paraId="7B37B80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教学过程</w:t>
            </w:r>
          </w:p>
        </w:tc>
        <w:tc>
          <w:tcPr>
            <w:tcW w:w="5807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D0E6FF"/>
            <w:vAlign w:val="center"/>
          </w:tcPr>
          <w:p w14:paraId="5DD0D75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主 要 教 学 内 容 及 步 骤</w:t>
            </w:r>
          </w:p>
        </w:tc>
        <w:tc>
          <w:tcPr>
            <w:tcW w:w="1366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D0E6FF"/>
            <w:vAlign w:val="center"/>
          </w:tcPr>
          <w:p w14:paraId="45826BC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  <w:t>设计意图</w:t>
            </w:r>
          </w:p>
        </w:tc>
      </w:tr>
      <w:tr w14:paraId="0E79CD0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op w:val="double" w:color="4472C4" w:themeColor="accent5" w:sz="4" w:space="0"/>
              <w:tl2br w:val="nil"/>
              <w:tr2bl w:val="nil"/>
            </w:tcBorders>
            <w:shd w:val="clear" w:color="auto" w:fill="D0E6FF"/>
            <w:vAlign w:val="center"/>
          </w:tcPr>
          <w:p w14:paraId="73D9881D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考勤</w:t>
            </w:r>
          </w:p>
          <w:p w14:paraId="0DD5BED1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2min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）</w:t>
            </w:r>
          </w:p>
        </w:tc>
        <w:tc>
          <w:tcPr>
            <w:tcW w:w="5807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2C75EB9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清点上课人数，记录好考勤</w:t>
            </w:r>
          </w:p>
          <w:p w14:paraId="7F53237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班干部报请假人员及原因</w:t>
            </w:r>
          </w:p>
        </w:tc>
        <w:tc>
          <w:tcPr>
            <w:tcW w:w="1366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5545F05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</w:rPr>
              <w:t>培养学生的组织纪律性,掌握学生的出勤情况</w:t>
            </w:r>
          </w:p>
        </w:tc>
      </w:tr>
      <w:tr w14:paraId="3A6ABA0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6446E2B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 w14:paraId="58F5B36B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</w:t>
            </w:r>
            <w:r>
              <w:rPr>
                <w:rFonts w:hint="eastAsia" w:ascii="Times New Roman" w:hAnsi="Times New Roman"/>
                <w:szCs w:val="24"/>
                <w:lang w:val="en-US" w:eastAsia="zh-CN"/>
              </w:rPr>
              <w:t>40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917895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  <w:b/>
                <w:color w:val="C00000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</w:rPr>
              <w:t>【教师】</w:t>
            </w:r>
            <w:r>
              <w:rPr>
                <w:rFonts w:hint="eastAsia" w:ascii="Times New Roman" w:hAnsi="Times New Roman"/>
                <w:b w:val="0"/>
                <w:bCs/>
                <w:color w:val="C00000"/>
                <w:lang w:val="en-US" w:eastAsia="zh-CN"/>
              </w:rPr>
              <w:t>展示标本采集的意义与原则（一）</w:t>
            </w:r>
          </w:p>
          <w:p w14:paraId="13A6987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一、标本采集的意义</w:t>
            </w:r>
          </w:p>
          <w:p w14:paraId="4E3542E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标本的采集和送检对于疾病的诊断、治疗和护理都非常重要。标本检验的结果对观察病情及制定预防和治疗措施起着重要的作用，同时也为评估患者的健康状态、确定护理诊断及制订护理计划提供客观资料。检验结果的准确性直接影响到疾病的诊断、治疗和护理，而检验结果的准确性与标本的采集和送检方法的正确与否密切相关，因此，标本的采集与送检是护理人员必须掌握的基本知识和技能之一。</w:t>
            </w:r>
            <w:r>
              <w:rPr>
                <w:rFonts w:hint="eastAsia" w:ascii="Times New Roman" w:hAnsi="Times New Roman"/>
                <w:b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</w:p>
          <w:p w14:paraId="28AE4A68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FD1B6B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展示标本采集的意义与原则（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一）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让学生更加仔细的阅读，从而</w:t>
            </w:r>
            <w:r>
              <w:rPr>
                <w:rFonts w:hint="eastAsia" w:ascii="Times New Roman" w:hAnsi="Times New Roman"/>
                <w:b/>
                <w:szCs w:val="24"/>
              </w:rPr>
              <w:t>激发学生的学习欲望。</w:t>
            </w:r>
          </w:p>
        </w:tc>
      </w:tr>
      <w:tr w14:paraId="5607F73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890716F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</w:rPr>
              <w:t>（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  <w:lang w:val="en-US" w:eastAsia="zh-CN"/>
              </w:rPr>
              <w:t>3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15A439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3886882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22" w:firstLineChars="200"/>
              <w:rPr>
                <w:rFonts w:hint="eastAsia" w:hAnsi="宋体" w:eastAsia="宋体"/>
                <w:bCs/>
                <w:lang w:eastAsia="zh-CN"/>
              </w:rPr>
            </w:pPr>
            <w:r>
              <w:rPr>
                <w:rFonts w:hint="eastAsia" w:hAnsi="宋体"/>
                <w:b/>
                <w:bCs w:val="0"/>
                <w:lang w:val="en-US" w:eastAsia="zh-CN"/>
              </w:rPr>
              <w:t>简述标本采集的意义。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AF1231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Cs w:val="24"/>
              </w:rPr>
              <w:t>通过课后练习，使学生巩固所学新知识</w:t>
            </w:r>
          </w:p>
        </w:tc>
      </w:tr>
      <w:tr w14:paraId="35717C34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4B017F59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 w14:paraId="4C25584C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（40</w:t>
            </w:r>
            <w:r>
              <w:rPr>
                <w:rFonts w:hint="eastAsia" w:ascii="Times New Roman" w:hAnsi="Times New Roman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1B164D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展示标本采集的意义与原则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（二）</w:t>
            </w:r>
          </w:p>
          <w:p w14:paraId="1F572CF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二、标本采集的原则</w:t>
            </w:r>
          </w:p>
          <w:p w14:paraId="684446D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（一）遵医嘱采集标本</w:t>
            </w:r>
          </w:p>
          <w:p w14:paraId="65891B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医生填写的检验申请单，要求目的明确、字迹清楚，申请人签全名。</w:t>
            </w:r>
          </w:p>
          <w:p w14:paraId="2A94418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（二）做好采集前准备</w:t>
            </w:r>
          </w:p>
          <w:p w14:paraId="03F5750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做好护士准备及用物准备　护士应着装整洁，符合护士职业要求；采集标本前应了解患者的病情及目前的诊断及治疗情况；明确检验项目、目的及注意事项，根据检验目的选择合适的标本容器，并在容器外贴上标签，标明科别、病室、床号、姓名、住院号、检验目的、送检日期等。</w:t>
            </w:r>
          </w:p>
          <w:p w14:paraId="7040204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做好患者准备及环境准备　采集标本前应评估患者病情并做好解释工作，取得患者的理解与合作。根据需要做好环境准备。</w:t>
            </w:r>
          </w:p>
          <w:p w14:paraId="36BCA95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（三）严格执行查对制度</w:t>
            </w:r>
          </w:p>
          <w:p w14:paraId="2FDA2B4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认真执行查对制度，做好三查七对，严防差错事故的发生。</w:t>
            </w:r>
          </w:p>
          <w:p w14:paraId="0D40379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（四）正确地采集标本</w:t>
            </w:r>
          </w:p>
          <w:p w14:paraId="5FEB529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为确保标本的质量必须掌握正确的采集方法，要做到及时、准确、足量。</w:t>
            </w:r>
          </w:p>
          <w:p w14:paraId="72C429D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采集细菌培养标本应在患者使用抗生素之前，如果已经用药，应该在血药浓度最低时采集，并在检验单上注明；采集时应严格执行无菌操作，标本应放入无菌容器内，不可混入防腐剂、消毒剂或药物；培养液应足量，无混浊、变质，以确保检验结果准确。注意严格遵守采集时间，如尿妊娠试验须留晨尿，因为晨尿内绒毛膜促性腺激素的含量高，容易获得阳性结果。</w:t>
            </w:r>
          </w:p>
          <w:p w14:paraId="0DCD120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（五）及时送检</w:t>
            </w:r>
          </w:p>
          <w:p w14:paraId="5DCC48C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标本应及时送检，不应放置过久，以免影响检验结果。特殊标本还需要注明采集的时间。</w:t>
            </w:r>
          </w:p>
          <w:p w14:paraId="76C4E4C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40B5AB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通过教师讲解，了解标本采集的意义与原则（二）的基本理论知识。</w:t>
            </w:r>
          </w:p>
        </w:tc>
      </w:tr>
      <w:tr w14:paraId="753CC7F6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9B66BF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5B3DBB1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F97E84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72B2DC9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标本采集的意义与原则（二）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，让学生知道医生填写的检验申请单，要求目的明确、字迹清楚，申请人签全名。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6B3602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34DD317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5BDA3A2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64" w:lineRule="auto"/>
              <w:ind w:left="8" w:leftChars="0" w:right="0" w:rightChars="0" w:hanging="8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DF03DF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6C3503E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ascii="Calibri" w:hAnsi="宋体" w:eastAsia="宋体" w:cs="Times New Roman"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Cs/>
                <w:kern w:val="2"/>
                <w:sz w:val="21"/>
                <w:szCs w:val="21"/>
                <w:lang w:val="en-US" w:eastAsia="zh-CN" w:bidi="ar"/>
              </w:rPr>
              <w:t>简述标本采集的原则。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7B9FD5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5AF948A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93AF62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C32EAD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展示各种标本采集法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（一）</w:t>
            </w:r>
          </w:p>
          <w:p w14:paraId="597DCDD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一、血液标本采集法</w:t>
            </w:r>
          </w:p>
          <w:p w14:paraId="4E32E86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（一）静脉血液标本采集法</w:t>
            </w:r>
          </w:p>
          <w:p w14:paraId="09B5AF7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静脉血液标本分三类：全血标本、血清标本、血培养标本。</w:t>
            </w:r>
          </w:p>
          <w:p w14:paraId="56531EB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【目的】</w:t>
            </w:r>
          </w:p>
          <w:p w14:paraId="69F53F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（1）全血标本用作测定血液中某些物质的含量（如肌酐、尿酸、肌酸、尿素氮、血糖、血氨等）及血沉、血常规检查。</w:t>
            </w:r>
          </w:p>
          <w:p w14:paraId="097DB7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（2）血清标本用作测定血清酶、脂类、电解质，肝功能等。</w:t>
            </w:r>
          </w:p>
          <w:p w14:paraId="589640C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（3）血培养标本用作查找血液中的病原菌。</w:t>
            </w:r>
          </w:p>
          <w:p w14:paraId="046AA63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【评估】</w:t>
            </w:r>
          </w:p>
          <w:p w14:paraId="63FAB9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（1）了解患者的诊断及目前的治疗情况。</w:t>
            </w:r>
          </w:p>
          <w:p w14:paraId="47D7631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（2）评估患者的病情、意识状态及合作程度。</w:t>
            </w:r>
          </w:p>
          <w:p w14:paraId="46A41B4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（3）评估患者的穿刺部位皮肤及静脉状况。</w:t>
            </w:r>
          </w:p>
          <w:p w14:paraId="1C7AD33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【计划】</w:t>
            </w:r>
          </w:p>
          <w:p w14:paraId="582E1D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操作者准备　着装整洁，洗手，戴口罩；熟悉血液标本采集的方法、原则及注意事项，明确患者需做的检查项目、采血量及是否需要特殊准备，如使用抗凝剂等。</w:t>
            </w:r>
          </w:p>
          <w:p w14:paraId="472A938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用物准备　治疗车上层注射盘、注射器（5 mL 或 10 mL），检验申请单、止血带、棉签、消毒液、一次性垫巾、弯盘、手消毒液标本容器（抗凝管、干燥试管或血培养瓶），需要时备酒精灯和火柴，必要时备无菌手套。治疗车下层：生活垃圾筒，医疗垃圾筒，锐器盒。</w:t>
            </w:r>
          </w:p>
          <w:p w14:paraId="4E29E34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患者准备　采血局部皮肤清洁，了解采血目的及方法。</w:t>
            </w:r>
          </w:p>
          <w:p w14:paraId="3634191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4. 环境准备　整洁、宽敞、明亮，符合静脉穿刺的环境要求。</w:t>
            </w:r>
          </w:p>
          <w:p w14:paraId="24913B7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【实施】</w:t>
            </w:r>
          </w:p>
          <w:p w14:paraId="13DE6FF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静脉血液标本采集的操作步骤及要点说明见表 13-1。</w:t>
            </w:r>
          </w:p>
          <w:p w14:paraId="39FC189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971800" cy="1526540"/>
                  <wp:effectExtent l="0" t="0" r="0" b="1651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1526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EEEF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【评价】</w:t>
            </w:r>
          </w:p>
          <w:p w14:paraId="62A851E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（1）能够遵守标本采集原则。</w:t>
            </w:r>
          </w:p>
          <w:p w14:paraId="5A2FF3D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（2）采集方法正确。</w:t>
            </w:r>
          </w:p>
          <w:p w14:paraId="5BD85EB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（3）与患者沟通有效，患者配合。</w:t>
            </w:r>
          </w:p>
          <w:p w14:paraId="57EFE69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【注意事项】</w:t>
            </w:r>
          </w:p>
          <w:p w14:paraId="5483C7A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（1）根据不同的检验目的，选择合适的标本容器并计算所需采血量。一般血培养取血 5 mL，亚急性细菌性心内膜炎患者，取血 10 ～ 15 mL，以提高细菌培养的阳性率。</w:t>
            </w:r>
          </w:p>
          <w:p w14:paraId="3A52182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（2）如果同时抽取多种血标本，应按照顺序注入：先注入血培养瓶，再注入抗凝管，最后注入干燥管，动作应准确迅速。</w:t>
            </w:r>
          </w:p>
          <w:p w14:paraId="3A4D804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（3）血标本严禁在输液和输血部位或同侧肢体抽取，应在对侧肢体采集血标本。</w:t>
            </w:r>
          </w:p>
          <w:p w14:paraId="0C69D1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【健康教育】</w:t>
            </w:r>
          </w:p>
          <w:p w14:paraId="5EBE662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（1）生化检验的血标本需要空腹抽取，应该提前通知患者禁食，以避免因进食影响检验结果。</w:t>
            </w:r>
          </w:p>
          <w:p w14:paraId="5F05AE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（2）静脉采血后，注意按压部位和时间（3 ～ 5 分钟），并暂时避免肢体过度用力，以免引发出血。</w:t>
            </w:r>
          </w:p>
          <w:p w14:paraId="03E9DAF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（二）动脉血液标本采集法</w:t>
            </w:r>
          </w:p>
          <w:p w14:paraId="372763F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【目的】</w:t>
            </w:r>
          </w:p>
          <w:p w14:paraId="1708A8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常用于血液气体分析。</w:t>
            </w:r>
          </w:p>
          <w:p w14:paraId="2F95DDB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【评估】</w:t>
            </w:r>
          </w:p>
          <w:p w14:paraId="719BF74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（1）了解患者的诊断及目前的治疗情况。</w:t>
            </w:r>
          </w:p>
          <w:p w14:paraId="32681D7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（2）评估患者的病情、意识状态及合作程度，重点询问患者有无出血</w:t>
            </w:r>
          </w:p>
          <w:p w14:paraId="7EED3BF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倾向。</w:t>
            </w:r>
          </w:p>
          <w:p w14:paraId="04AC97A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（3）评估患者的穿刺部位皮肤及动脉状况。</w:t>
            </w:r>
          </w:p>
          <w:p w14:paraId="5F43E59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【计划】</w:t>
            </w:r>
          </w:p>
          <w:p w14:paraId="6556F5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1. 操作者准备　着装整洁，洗手，戴口罩；熟悉血液标本采集的方法、原则及注意事项；明确患者需做的检查项目、采血量、注意事项及是否需要特殊准备。</w:t>
            </w:r>
          </w:p>
          <w:p w14:paraId="2255D95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2. 用物准备　治疗车上层：注射盘内备注射器（2 mL 或 5 mL）或动脉采血针，检验申请单、肝素、无菌纱布、无菌软木塞，必要时备无菌手套。无菌纱布，消毒棉签，手消毒液，一次性治疗巾，弯盘，消毒液；治疗车下层：生活垃圾筒，医疗垃圾筒，锐器盒。</w:t>
            </w:r>
          </w:p>
          <w:p w14:paraId="7DB4B5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3. 患者准备　采血局部皮肤清洁，了解采血目的及方法。</w:t>
            </w:r>
          </w:p>
          <w:p w14:paraId="21B6646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4. 环境准备　宽敞、整洁、明亮，符合动脉穿刺的环境要求。</w:t>
            </w:r>
          </w:p>
          <w:p w14:paraId="22AAAE2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【实施】 </w:t>
            </w:r>
          </w:p>
          <w:p w14:paraId="0E52E39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动脉血液标本采集的操作步骤及要点说明见表 13-2。</w:t>
            </w:r>
          </w:p>
          <w:p w14:paraId="105C639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993390" cy="1090930"/>
                  <wp:effectExtent l="0" t="0" r="16510" b="1397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3390" cy="1090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6922F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【评价】</w:t>
            </w:r>
          </w:p>
          <w:p w14:paraId="65C31F3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（1）能够遵守标本采集原则。</w:t>
            </w:r>
          </w:p>
          <w:p w14:paraId="2512318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（2）采集方法正确。</w:t>
            </w:r>
          </w:p>
          <w:p w14:paraId="5DBB580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（3）与患者沟通有效，患者配合。</w:t>
            </w:r>
          </w:p>
          <w:p w14:paraId="635112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【注意事项】</w:t>
            </w:r>
          </w:p>
          <w:p w14:paraId="5BA118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（1）严格遵守无菌操作技术原则，防止感染。</w:t>
            </w:r>
          </w:p>
          <w:p w14:paraId="445BEA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（2）有出血倾向的患者，慎用。</w:t>
            </w:r>
          </w:p>
          <w:p w14:paraId="552254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【健康教育】</w:t>
            </w:r>
          </w:p>
          <w:p w14:paraId="38C8F7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动脉采血后一定要告知患者加压按压穿刺点 5 ～ 10 分钟，直至不出血。</w:t>
            </w:r>
          </w:p>
          <w:p w14:paraId="072034E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9971AA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通过教师讲解，了解各种标本采集法（一）的基本理论知识。</w:t>
            </w:r>
          </w:p>
        </w:tc>
      </w:tr>
      <w:tr w14:paraId="6A62B2D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6B46F7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3DF66F3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0C9A5A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5E84475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这节课我们一起学习了各种标本采集法（一），让学生知道血培养标本用作查找血液中的病原菌。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3C25FA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5BC64BBB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5BC1196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01A22B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44109F7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简述静脉血液标本采集法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9D46BC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2DA614A9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EFF759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DED402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展示各种标本采集法（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6D51444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二、尿液标本采集法</w:t>
            </w:r>
          </w:p>
          <w:p w14:paraId="785BE06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临床常用尿液标本有：常规尿标本，尿培养标本，12小时或24小时尿标本。</w:t>
            </w:r>
          </w:p>
          <w:p w14:paraId="7A3392D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【目的】</w:t>
            </w:r>
          </w:p>
          <w:p w14:paraId="5A163B3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（1）常规尿标本用于检查尿液的颜色、透明度，有无细胞和管型，测定尿比重，作尿蛋白及尿糖定性等。</w:t>
            </w:r>
          </w:p>
          <w:p w14:paraId="3374739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（2）尿培养标本用于细菌培养，以了解病情，协助诊断和治疗。</w:t>
            </w:r>
          </w:p>
          <w:p w14:paraId="1B4D8CD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（3）12 小时或 24 小时尿标本：12 小时尿标本常用于细胞，管型等有形成分计数，如 Addis 计数等；24 小时尿标本适用于体内代谢产物尿液成分定量检查分析，如蛋白、糖、肌酐等。</w:t>
            </w:r>
          </w:p>
          <w:p w14:paraId="0145B7D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【评估】</w:t>
            </w:r>
          </w:p>
          <w:p w14:paraId="2AC4669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（1）了解患者的诊断和目前的治疗情况。</w:t>
            </w:r>
          </w:p>
          <w:p w14:paraId="3BBDE7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（2）评估患者的病情、意识状态及合作程度。</w:t>
            </w:r>
          </w:p>
          <w:p w14:paraId="615F816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（3）评估女性患者有无月经等出血情况。</w:t>
            </w:r>
          </w:p>
          <w:p w14:paraId="6FADD55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【计划】</w:t>
            </w:r>
          </w:p>
          <w:p w14:paraId="33E7FD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操作者准备　衣帽整洁，修剪指甲洗手，戴口罩；熟悉采集的方法、原则及注意事项；明确患者需做的检查项目、采集尿量、注意事项及是否需要特殊准备。</w:t>
            </w:r>
          </w:p>
          <w:p w14:paraId="6088886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用物准备</w:t>
            </w:r>
          </w:p>
          <w:p w14:paraId="30B286D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（1）常规尿标本：检验申请单、标签或条形码、一次性尿常规标本容器，必要时备便盆或尿壶、无菌手套。</w:t>
            </w:r>
          </w:p>
          <w:p w14:paraId="39A3A68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（2）尿培养标本：检验单、无菌试管、试管夹、火柴、酒精灯、外阴冲洗及消毒用物。必要时备导尿包。</w:t>
            </w:r>
          </w:p>
          <w:p w14:paraId="0BBE040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（3）12 小时或 24 小时尿标本：检验单、容量为 3 000 ～ 5 000 mL 的集尿瓶，按需备防腐剂。</w:t>
            </w:r>
          </w:p>
          <w:p w14:paraId="38EB668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患者准备　局部皮肤清洁，了解采集尿标本的目的及方法，协助配合。</w:t>
            </w:r>
          </w:p>
          <w:p w14:paraId="22D9FD5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4. 环境准备　宽敞、安静、安全、隐蔽。</w:t>
            </w:r>
          </w:p>
          <w:p w14:paraId="5E65E5E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【实施】</w:t>
            </w:r>
          </w:p>
          <w:p w14:paraId="33EDFE7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尿液标本采集的操作步骤及要点说明见表 13-4。</w:t>
            </w:r>
          </w:p>
          <w:p w14:paraId="0190FD8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082800" cy="2512060"/>
                  <wp:effectExtent l="0" t="0" r="12700" b="254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2800" cy="251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94A64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【评价】</w:t>
            </w:r>
          </w:p>
          <w:p w14:paraId="598125A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（1）能够遵守标本采集原则。</w:t>
            </w:r>
          </w:p>
          <w:p w14:paraId="0B904ED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（2）采集方法正确。</w:t>
            </w:r>
          </w:p>
          <w:p w14:paraId="7853E4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（3）与患者沟通有效，患者配合。</w:t>
            </w:r>
          </w:p>
          <w:p w14:paraId="7D400D9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【注意事项】</w:t>
            </w:r>
          </w:p>
          <w:p w14:paraId="0551D5D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（1）昏迷或者尿潴留患者可通过导尿术留取尿标本。</w:t>
            </w:r>
          </w:p>
          <w:p w14:paraId="3A145EF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（2）留置导尿的患者可打开集尿袋下方引流口的橡胶塞进行收集。</w:t>
            </w:r>
          </w:p>
          <w:p w14:paraId="07079EA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（3）留取尿培养标本，应严格无菌操作技术，避免污染尿液标本，影响检验的结果。</w:t>
            </w:r>
          </w:p>
          <w:p w14:paraId="0375C6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（4）常规检查尿标本，采集后尽快送检，最好不要超过 2 小时，如不能及时送检和分析，必须采取保存措施，如冷藏或防腐等。</w:t>
            </w:r>
          </w:p>
          <w:p w14:paraId="73B4262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【健康教育】</w:t>
            </w:r>
          </w:p>
          <w:p w14:paraId="50BCA04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（1）女性患者在月经期或阴道出血期间，不宜留取尿标本。</w:t>
            </w:r>
          </w:p>
          <w:p w14:paraId="579BD9D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（2）如会阴分泌物过多，应先清洁，再留尿标本，避免将精液、经血混入标本。</w:t>
            </w:r>
          </w:p>
          <w:p w14:paraId="63511B5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（3）留取常规尿标本时，注意不可将粪便混入尿液中。</w:t>
            </w:r>
          </w:p>
          <w:p w14:paraId="3994AE9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67E3C6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通过教师讲解，了解各种标本采集法（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二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 w14:paraId="745FB8F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95FC73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619BD40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E594E5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0F47C73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这节课我们一起学习了各种标本采集法（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），让学生知道临床常用尿液标本有：常规尿标本，尿培养标本，12小时或24小时尿标本。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B25242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4629ABB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9B10E7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75A194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2A4B349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简述尿液标本采集的操作步骤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4D20FD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44B9617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93E0CD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517FA5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展示各种标本采集法（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三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6007E94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三、粪便标本采集法</w:t>
            </w:r>
          </w:p>
          <w:p w14:paraId="3F9A3AD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临床常用粪便标本有：粪便常规标本，粪便培养标本，寄生虫及虫卵标本，隐血标本。</w:t>
            </w:r>
          </w:p>
          <w:p w14:paraId="5BF5CBB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【目的】</w:t>
            </w:r>
          </w:p>
          <w:p w14:paraId="1A1EAFD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（1）粪便常规标本用于检查粪便的颜色、性状、混合物和细胞等。</w:t>
            </w:r>
          </w:p>
          <w:p w14:paraId="3B5092E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（2）粪便培养标本用于检查粪便中的致病菌。</w:t>
            </w:r>
          </w:p>
          <w:p w14:paraId="6581A4E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（3）寄生虫及虫卵标本用于检查粪便中的寄生虫、幼虫、虫卵。</w:t>
            </w:r>
          </w:p>
          <w:p w14:paraId="6A590C8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（4）隐血标本用于检查粪便中肉眼不能察见的微量血液。</w:t>
            </w:r>
          </w:p>
          <w:p w14:paraId="46BE5DE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【评估】</w:t>
            </w:r>
          </w:p>
          <w:p w14:paraId="252A76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（1）了解患者的诊断和目前治疗情况。</w:t>
            </w:r>
          </w:p>
          <w:p w14:paraId="60B8E16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（2）评估患者的病情、意识状态及合作程度。</w:t>
            </w:r>
          </w:p>
          <w:p w14:paraId="3AB9903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（3）评估患者的大便情况，有无便秘、腹泻等情况。</w:t>
            </w:r>
          </w:p>
          <w:p w14:paraId="5AD4B43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【计划】</w:t>
            </w:r>
          </w:p>
          <w:p w14:paraId="0D1461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操作者准备　衣帽整洁，修剪指甲洗手戴口罩；熟悉采集的方法、原则及注意事项；明确患者需做的检查项目、采集量、注意事项及是否需要特殊准备。</w:t>
            </w:r>
          </w:p>
          <w:p w14:paraId="174C3D5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用物准备</w:t>
            </w:r>
          </w:p>
          <w:p w14:paraId="694856F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（1）粪便常规标本：检验申请、检便盒（内附检便匙或棉签）、清洁便盆。</w:t>
            </w:r>
          </w:p>
          <w:p w14:paraId="5BB0526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（2）粪便培养标本：检验单、无菌培养瓶及棉签、消毒便盆。</w:t>
            </w:r>
          </w:p>
          <w:p w14:paraId="2FA6DCA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（3）寄生虫及虫卵标本：检验单、检便盒（内附检便匙或棉签）、透明胶带与载玻片、清洁便盆。</w:t>
            </w:r>
          </w:p>
          <w:p w14:paraId="14A416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（4）隐血标本：检验单、检便盒（内附检便匙或棉签）、清洁便盆。</w:t>
            </w:r>
          </w:p>
          <w:p w14:paraId="4304299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患者准备　理解采集目的及方法，并做好相应准备。</w:t>
            </w:r>
          </w:p>
          <w:p w14:paraId="77B5FDB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4. 环境准备　安静、安全、隐蔽。</w:t>
            </w:r>
          </w:p>
          <w:p w14:paraId="5222A29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【实施】</w:t>
            </w:r>
          </w:p>
          <w:p w14:paraId="0D25F4C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粪便标本采集的操作步骤及要点说明见表 13-5。</w:t>
            </w:r>
          </w:p>
          <w:p w14:paraId="24FA2E0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753360" cy="1986280"/>
                  <wp:effectExtent l="0" t="0" r="8890" b="1397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3360" cy="198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47931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【评价】</w:t>
            </w:r>
          </w:p>
          <w:p w14:paraId="48B1390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（1）能够遵守标本采集原则。</w:t>
            </w:r>
          </w:p>
          <w:p w14:paraId="66AA475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（2）采集方法正确。</w:t>
            </w:r>
          </w:p>
          <w:p w14:paraId="19E5574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（3）与患者沟通有效，患者配合。</w:t>
            </w:r>
          </w:p>
          <w:p w14:paraId="1E606D5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【注意事项】</w:t>
            </w:r>
          </w:p>
          <w:p w14:paraId="7BA0AA4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（1）采集粪便时，应取黏液、脓血等异常部分。血吸虫孵化毛蚴时至少留取 30 g 粪便，必要时整份送检。</w:t>
            </w:r>
          </w:p>
          <w:p w14:paraId="1E68367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（2）检查阿米巴原虫，应先将便盆加温，再嘱咐患者排便，并连同便盆立即送检，以保持阿米巴原虫的活动状态。</w:t>
            </w:r>
          </w:p>
          <w:p w14:paraId="4717500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【健康教育】</w:t>
            </w:r>
          </w:p>
          <w:p w14:paraId="2B129DB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（1）各种检查用的粪便标本中不得混有尿液、经血、消毒剂及污水等。</w:t>
            </w:r>
          </w:p>
          <w:p w14:paraId="182F1EC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（2）作隐血试验检查，检查前 3 天禁食肉类及动物血，并禁服铁剂及维生素 C。</w:t>
            </w:r>
          </w:p>
          <w:p w14:paraId="57348F7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13E6B5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通过教师讲解，了解各种标本采集法（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三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 w14:paraId="5C95C813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DC25F9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59CB075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5085DA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6DEA281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这节课我们一起学习了各种标本采集法（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三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），让学生知道临床常用粪便标本有：粪便常规标本，粪便培养标本，寄生虫及虫卵标本，隐血标本。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FB7F52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75ED7929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16C918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F66164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52AD522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简述粪便标本采集的操作步骤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06B611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7B222A0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C7FE1C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7915AF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展示各种标本采集法（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四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2FC6E2C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四、痰标本采集法</w:t>
            </w:r>
          </w:p>
          <w:p w14:paraId="23DDC68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临床常用痰标本有：常规痰标本，痰培养标本，24 小时痰标本。</w:t>
            </w:r>
          </w:p>
          <w:p w14:paraId="378F160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【目的】</w:t>
            </w:r>
          </w:p>
          <w:p w14:paraId="2E5E822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（1）常规痰标本用于检查痰液的一般性状，做涂片经特殊染色查细菌、虫卵和癌细胞。</w:t>
            </w:r>
          </w:p>
          <w:p w14:paraId="7D196F0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（2）痰培养标本用于检查痰液中的致病菌。</w:t>
            </w:r>
          </w:p>
          <w:p w14:paraId="59CF6B2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（3）24 小时痰标本用于检查 24 小时痰液的量和性状，以协助诊断。</w:t>
            </w:r>
          </w:p>
          <w:p w14:paraId="3392A84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【评估】</w:t>
            </w:r>
          </w:p>
          <w:p w14:paraId="540A9B6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（1）了解患者的诊断和目前治疗情况。</w:t>
            </w:r>
          </w:p>
          <w:p w14:paraId="60D990B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（2）评估患者的病情、意识状态及合作程度。</w:t>
            </w:r>
          </w:p>
          <w:p w14:paraId="3CCEAC1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（3）评估患者有无口腔疾患。</w:t>
            </w:r>
          </w:p>
          <w:p w14:paraId="1481EF1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【计划】</w:t>
            </w:r>
          </w:p>
          <w:p w14:paraId="3DCDD5A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操作者准备　衣帽整洁，洗手，戴口罩；熟悉采集的方法、原则及注意事项；明确患者需做的检查项目、采集量、注意事项及是否需要特殊准备。</w:t>
            </w:r>
          </w:p>
          <w:p w14:paraId="16B032C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用物准备</w:t>
            </w:r>
          </w:p>
          <w:p w14:paraId="2BD87FD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（1）常规痰标本：检验单、痰盒。</w:t>
            </w:r>
          </w:p>
          <w:p w14:paraId="6DDD164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（2）痰培养标本：检验单、无菌容器，漱口溶液。</w:t>
            </w:r>
          </w:p>
          <w:p w14:paraId="611DAA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（3）24 小时痰标本：检验单、痰杯或清洁广口集痰器，容量为 500 mL。</w:t>
            </w:r>
          </w:p>
          <w:p w14:paraId="622EE51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患者准备　口腔清洁，了解采集目的及方法，并做好相应准备。</w:t>
            </w:r>
          </w:p>
          <w:p w14:paraId="57BF14B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4. 环境准备　温度适宜，光线充足，环境安静。</w:t>
            </w:r>
          </w:p>
          <w:p w14:paraId="637348A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【实施】</w:t>
            </w:r>
          </w:p>
          <w:p w14:paraId="79336FE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痰标本采集的操作步骤及要点说明见表 13-6。</w:t>
            </w:r>
          </w:p>
          <w:p w14:paraId="556B6E8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465070" cy="2952750"/>
                  <wp:effectExtent l="0" t="0" r="11430" b="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5070" cy="295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AF72B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【评价】</w:t>
            </w:r>
          </w:p>
          <w:p w14:paraId="7553BBA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（1）能够遵守标本采集原则。</w:t>
            </w:r>
          </w:p>
          <w:p w14:paraId="01E884A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（2）采集方法正确。</w:t>
            </w:r>
          </w:p>
          <w:p w14:paraId="7E259E6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（3）与患者沟通有效，患者配合。</w:t>
            </w:r>
          </w:p>
          <w:p w14:paraId="010F8C9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【注意事项】</w:t>
            </w:r>
          </w:p>
          <w:p w14:paraId="5690461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（1）查找癌细胞的痰标本，应立即送检或用 10% 甲醛溶液或 95% 乙醇溶液固定后送检。</w:t>
            </w:r>
          </w:p>
          <w:p w14:paraId="6477588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（2）痰培养标本，应严格无菌操作，以免影响检验结果。</w:t>
            </w:r>
          </w:p>
          <w:p w14:paraId="37AE75E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（3）记录 24 小时痰标本量时，应该减去加入清水的量。</w:t>
            </w:r>
          </w:p>
          <w:p w14:paraId="78CDAE9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【健康教育】</w:t>
            </w:r>
          </w:p>
          <w:p w14:paraId="359D9AB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（1）向患者及家属解释采集痰标本的重要性，并指导其正确的痰标本收集方法和注意事项。</w:t>
            </w:r>
          </w:p>
          <w:p w14:paraId="31F2BC3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（2）采集痰标本过程中，嘱咐患者不可将漱口液、唾液、鼻涕等混入标本。</w:t>
            </w:r>
          </w:p>
          <w:p w14:paraId="015E546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（3）指导患者用正确的方法进行有效咳痰。</w:t>
            </w:r>
          </w:p>
          <w:p w14:paraId="4EEA279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928EDD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通过教师讲解，了解各种标本采集法（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四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 w14:paraId="79FACC26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6D457D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759DD5A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DC12DB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410AF84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这节课我们一起学习了各种标本采集法（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四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），让学生知道临床常用痰标本有：常规痰标本，痰培养标本，24 小时痰标本。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2C2268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2DF1ECB3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227454E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AC727F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60F9406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简述痰标本采集的操作步骤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2067B8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7364E6C5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499AAC3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844578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展示各种标本采集法（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五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0E59F5E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五、咽拭子标本采集法</w:t>
            </w:r>
          </w:p>
          <w:p w14:paraId="0184ACF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【目的】</w:t>
            </w:r>
          </w:p>
          <w:p w14:paraId="6D76408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从咽部或扁桃体采集分泌物作细菌培养或病毒分离，以协助临床诊断、治疗和护理。</w:t>
            </w:r>
          </w:p>
          <w:p w14:paraId="4C31BA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【评估】</w:t>
            </w:r>
          </w:p>
          <w:p w14:paraId="5289C26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（1）了解患者的诊断以及目前的治疗情况。</w:t>
            </w:r>
          </w:p>
          <w:p w14:paraId="2660E0A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（2）评估患者的病情、意识状态及合作程度。</w:t>
            </w:r>
          </w:p>
          <w:p w14:paraId="631C6A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（3）评估患者有无口腔疾患。</w:t>
            </w:r>
          </w:p>
          <w:p w14:paraId="101022E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【计划】</w:t>
            </w:r>
          </w:p>
          <w:p w14:paraId="5B4CE4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操作者准备　衣帽整洁、洗手、戴口罩；熟悉采集的方法、原则及注意事项；明确患者需做的检查项目、采集量、注意事项及是否需要特殊准备。</w:t>
            </w:r>
          </w:p>
          <w:p w14:paraId="208CD87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用物准备　检验单、无菌咽拭子培养管、酒精灯、火柴、压舌板，必要时备手电筒。</w:t>
            </w:r>
          </w:p>
          <w:p w14:paraId="7E0B3C4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患者准备　口腔清洁，了解采集目的及方法，并做好相应准备。</w:t>
            </w:r>
          </w:p>
          <w:p w14:paraId="6EE1259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4. 环境准备　整洁、宽敞、明亮。</w:t>
            </w:r>
          </w:p>
          <w:p w14:paraId="71E173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【实施】</w:t>
            </w:r>
          </w:p>
          <w:p w14:paraId="792A59A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咽拭子标本采集的操作步骤及要点说明见表 13-7。</w:t>
            </w:r>
          </w:p>
          <w:p w14:paraId="028A9C5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730500" cy="1467485"/>
                  <wp:effectExtent l="0" t="0" r="12700" b="18415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0500" cy="1467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8407A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【评价】</w:t>
            </w:r>
          </w:p>
          <w:p w14:paraId="477440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（1）能够遵守标本采集原则。</w:t>
            </w:r>
          </w:p>
          <w:p w14:paraId="78686C0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（2）采集方法正确。</w:t>
            </w:r>
          </w:p>
          <w:p w14:paraId="55875C4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（3）与患者沟通有效，患者配合。</w:t>
            </w:r>
          </w:p>
          <w:p w14:paraId="0C97C87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【注意事项】</w:t>
            </w:r>
          </w:p>
          <w:p w14:paraId="7A199A9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（1）采集咽拭子标本应避免在进食后 2 小时内进行，动作应轻、稳，以防呕吐。</w:t>
            </w:r>
          </w:p>
          <w:p w14:paraId="11A1409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（2）采集真菌培养标本，应在口腔溃疡面上取分泌物。</w:t>
            </w:r>
          </w:p>
          <w:p w14:paraId="07F2836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【健康教育】</w:t>
            </w:r>
          </w:p>
          <w:p w14:paraId="06BBE2B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告知患者操作方法及配合要点，以便取得其合作。</w:t>
            </w:r>
          </w:p>
          <w:p w14:paraId="1FA9A34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A7A9DC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通过教师讲解，了解各种标本采集法（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五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 w14:paraId="415E1BA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6D3F57D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680E9F3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E0C473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68F83F3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这节课我们一起学习了各种标本采集法（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五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），让学生知道从咽部或扁桃体采集分泌物作细菌培养或病毒分离，以协助临床诊断、治疗和护理。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A2F212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034F20E4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D8F811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DADEEA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727DB13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简述咽拭子标本采集的操作步骤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96F668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4D3C5504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CA192D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47D753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展示各种标本采集法（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六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33AA3FE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六、呕吐物标本采集法</w:t>
            </w:r>
          </w:p>
          <w:p w14:paraId="20234C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【目的】</w:t>
            </w:r>
          </w:p>
          <w:p w14:paraId="549ECC0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检查呕吐物有无病理改变，以协助临床诊断、治疗和护理。</w:t>
            </w:r>
          </w:p>
          <w:p w14:paraId="4CEAE2E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【评估】</w:t>
            </w:r>
          </w:p>
          <w:p w14:paraId="32F947C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（1）了解患者的诊断和目前治疗情况。</w:t>
            </w:r>
          </w:p>
          <w:p w14:paraId="24A14C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（2）评估患者的病情、意识状态及合作程度。</w:t>
            </w:r>
          </w:p>
          <w:p w14:paraId="75B5C26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（3）评估患者有无口腔疾患。</w:t>
            </w:r>
          </w:p>
          <w:p w14:paraId="7EB1DCC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【计划】</w:t>
            </w:r>
          </w:p>
          <w:p w14:paraId="58D8B4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操作者准备　衣帽整洁，洗手，戴口罩；熟悉采集的方法、原则及注意事项；明确患者需做的检查项目、采集量、注意事项及是否需要特殊准备。</w:t>
            </w:r>
          </w:p>
          <w:p w14:paraId="11E4BDC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用物准备　检验单、弯盘或痰杯。</w:t>
            </w:r>
          </w:p>
          <w:p w14:paraId="1C84490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患者准备　口腔清洁，了解采集目的及方法，并做好相应准备。</w:t>
            </w:r>
          </w:p>
          <w:p w14:paraId="3CD51E4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4. 环境准备　整洁、宽敞、明亮，必要时屏风遮挡。</w:t>
            </w:r>
          </w:p>
          <w:p w14:paraId="675B5F8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【实施】</w:t>
            </w:r>
          </w:p>
          <w:p w14:paraId="7413DB3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患者呕吐时，用弯盘或痰杯接留后送检。</w:t>
            </w:r>
          </w:p>
          <w:p w14:paraId="6A7B0BC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【评价】</w:t>
            </w:r>
          </w:p>
          <w:p w14:paraId="08947C8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（１）能够遵守标本采集原则。</w:t>
            </w:r>
          </w:p>
          <w:p w14:paraId="38F8B2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（２）采集方法正确。</w:t>
            </w:r>
          </w:p>
          <w:p w14:paraId="7DD635C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（３）与患者沟通有效，患者配合。</w:t>
            </w:r>
          </w:p>
          <w:p w14:paraId="7CC3880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【注意事项】</w:t>
            </w:r>
          </w:p>
          <w:p w14:paraId="3B3D44C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患者不能自行呕吐时，可以刺激舌后，诱导患者呕吐。</w:t>
            </w:r>
          </w:p>
          <w:p w14:paraId="431AF3C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【健康教育】</w:t>
            </w:r>
          </w:p>
          <w:p w14:paraId="5DA6E4F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避免标本中混有唾液、鼻涕和眼泪等物质。</w:t>
            </w:r>
          </w:p>
          <w:p w14:paraId="583470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3DF6AC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通过教师讲解，了解各种标本采集法（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六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 w14:paraId="6B224204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69AE9DC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19B68F2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3E58CB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522E6AE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这节课我们一起学习了各种标本采集法（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六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），让学生知道检查呕吐物有无病理改变，以协助临床诊断、治疗和护理。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FF3D86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4B4AE225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9C18FE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B15A98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6ECD9C6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简述呕吐物标本采集法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81E7D3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4098A6D4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BA32BE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7875690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Times New Roman" w:hAnsi="Times New Roman" w:eastAsia="宋体"/>
                <w:lang w:eastAsia="zh-CN"/>
              </w:rPr>
            </w:pPr>
            <w:r>
              <w:rPr>
                <w:rFonts w:hint="eastAsia" w:ascii="Times New Roman" w:hAnsi="Times New Roman"/>
                <w:lang w:val="en-US" w:eastAsia="zh-CN"/>
              </w:rPr>
              <w:t>课堂是掌握知识、发展能力、积累情感、形成价值观的融合；是教学技术和教学艺术的融合；是人和人交流状态的融洽。</w:t>
            </w:r>
          </w:p>
        </w:tc>
      </w:tr>
      <w:bookmarkEnd w:id="0"/>
    </w:tbl>
    <w:p w14:paraId="4382B498"/>
    <w:sectPr>
      <w:pgSz w:w="11906" w:h="16838"/>
      <w:pgMar w:top="567" w:right="170" w:bottom="850" w:left="170" w:header="567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265E50EF-393E-46DE-8028-C9FA8789B549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2" w:fontKey="{FBBBCAD6-044D-4AC8-88CA-4672F0A179CE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3" w:fontKey="{DC536FC0-5033-4A3F-8AF8-F9E044E95D20}"/>
  </w:font>
  <w:font w:name="方正宋黑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PinYinok"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汉仪菱心体简">
    <w:panose1 w:val="02010400000101010101"/>
    <w:charset w:val="86"/>
    <w:family w:val="auto"/>
    <w:pitch w:val="default"/>
    <w:sig w:usb0="00000001" w:usb1="080E0800" w:usb2="00000002" w:usb3="00000000" w:csb0="00040000" w:csb1="00000000"/>
    <w:embedRegular r:id="rId4" w:fontKey="{A69004EB-7C46-426E-821A-D471ABE2FF36}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5" w:fontKey="{AFAB9A30-E88E-4D19-AF6E-6D3314568DA8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C28E3C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162560</wp:posOffset>
              </wp:positionH>
              <wp:positionV relativeFrom="paragraph">
                <wp:posOffset>-2540</wp:posOffset>
              </wp:positionV>
              <wp:extent cx="7019925" cy="9953625"/>
              <wp:effectExtent l="6350" t="6350" r="22225" b="22225"/>
              <wp:wrapNone/>
              <wp:docPr id="98" name="矩形 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19925" cy="9953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73000"/>
                        </a:srgbClr>
                      </a:solidFill>
                      <a:ln>
                        <a:solidFill>
                          <a:srgbClr val="7EC1E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2.8pt;margin-top:-0.2pt;height:783.75pt;width:552.75pt;z-index:251663360;v-text-anchor:middle;mso-width-relative:page;mso-height-relative:page;" fillcolor="#FFFFFF" filled="t" stroked="t" coordsize="21600,21600" o:gfxdata="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1gxEK2QAAAAoBAAAPAAAA&#10;AAAAAAEAIAAAACIAAABkcnMvZG93bnJldi54bWxQSwECFAAUAAAACACHTuJAUfTsz4YCAAAYBQAA&#10;DgAAAAAAAAABACAAAAAoAQAAZHJzL2Uyb0RvYy54bWxQSwUGAAAAAAYABgBZAQAAIAYAAAAA&#10;">
              <v:fill on="t" opacity="47841f" focussize="0,0"/>
              <v:stroke weight="1pt" color="#7EC1E1 [3204]" miterlimit="8" joinstyle="miter"/>
              <v:imagedata o:title=""/>
              <o:lock v:ext="edit" aspectratio="f"/>
            </v:rect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286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60288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-189230</wp:posOffset>
          </wp:positionH>
          <wp:positionV relativeFrom="paragraph">
            <wp:posOffset>-476250</wp:posOffset>
          </wp:positionV>
          <wp:extent cx="7640955" cy="10807700"/>
          <wp:effectExtent l="0" t="0" r="17145" b="12700"/>
          <wp:wrapNone/>
          <wp:docPr id="95" name="图片 95" descr="临床医生背景图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图片 95" descr="临床医生背景图片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40955" cy="1080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eastAsia="宋体"/>
        <w:lang w:eastAsia="zh-CN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3810" b="139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76D56191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B6F23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Theme="minorEastAsia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-224790</wp:posOffset>
          </wp:positionH>
          <wp:positionV relativeFrom="page">
            <wp:posOffset>0</wp:posOffset>
          </wp:positionV>
          <wp:extent cx="7676515" cy="7571105"/>
          <wp:effectExtent l="0" t="0" r="635" b="0"/>
          <wp:wrapNone/>
          <wp:docPr id="3" name="图片 3" descr="1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19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76515" cy="7571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UwZDJhYjUyNWMyYTM4YmY1YzczYWE4MTIwOWE1NDY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46163BD"/>
    <w:rsid w:val="0A120443"/>
    <w:rsid w:val="0AC91BFE"/>
    <w:rsid w:val="0E3C75E8"/>
    <w:rsid w:val="0F244062"/>
    <w:rsid w:val="18E44A63"/>
    <w:rsid w:val="1E357891"/>
    <w:rsid w:val="1F095C2A"/>
    <w:rsid w:val="1FB84519"/>
    <w:rsid w:val="2003061B"/>
    <w:rsid w:val="20F13C9B"/>
    <w:rsid w:val="221D1D08"/>
    <w:rsid w:val="238347DF"/>
    <w:rsid w:val="24B477DD"/>
    <w:rsid w:val="278141AB"/>
    <w:rsid w:val="28B578A7"/>
    <w:rsid w:val="30564A47"/>
    <w:rsid w:val="30865E1D"/>
    <w:rsid w:val="322A12C5"/>
    <w:rsid w:val="34AD60CD"/>
    <w:rsid w:val="34B67F89"/>
    <w:rsid w:val="368D542E"/>
    <w:rsid w:val="388B134B"/>
    <w:rsid w:val="3936386A"/>
    <w:rsid w:val="3B3D61BD"/>
    <w:rsid w:val="42E71A52"/>
    <w:rsid w:val="430B39E6"/>
    <w:rsid w:val="436C72A2"/>
    <w:rsid w:val="43A6660D"/>
    <w:rsid w:val="43CD7F64"/>
    <w:rsid w:val="44B33A23"/>
    <w:rsid w:val="45C91BBA"/>
    <w:rsid w:val="48AA54D8"/>
    <w:rsid w:val="49703285"/>
    <w:rsid w:val="49B358F8"/>
    <w:rsid w:val="49F8701E"/>
    <w:rsid w:val="4A8F64C4"/>
    <w:rsid w:val="4C7F0E23"/>
    <w:rsid w:val="582E68E8"/>
    <w:rsid w:val="5A7C6694"/>
    <w:rsid w:val="5FE01C28"/>
    <w:rsid w:val="5FFC3909"/>
    <w:rsid w:val="600E33E1"/>
    <w:rsid w:val="610E43FE"/>
    <w:rsid w:val="622A303A"/>
    <w:rsid w:val="63824409"/>
    <w:rsid w:val="693C60E2"/>
    <w:rsid w:val="69425AC1"/>
    <w:rsid w:val="6CD7419C"/>
    <w:rsid w:val="6FCE7B7A"/>
    <w:rsid w:val="71C561B9"/>
    <w:rsid w:val="721056AE"/>
    <w:rsid w:val="723010AC"/>
    <w:rsid w:val="747F1FAF"/>
    <w:rsid w:val="76311976"/>
    <w:rsid w:val="7A106FE1"/>
    <w:rsid w:val="7A3C7DD6"/>
    <w:rsid w:val="7B4E2932"/>
    <w:rsid w:val="7B643141"/>
    <w:rsid w:val="7E1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16</Pages>
  <Words>10970</Words>
  <Characters>11125</Characters>
  <Lines>1</Lines>
  <Paragraphs>1</Paragraphs>
  <TotalTime>1</TotalTime>
  <ScaleCrop>false</ScaleCrop>
  <LinksUpToDate>false</LinksUpToDate>
  <CharactersWithSpaces>11193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2025-07-24T07:14:23Z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D857281FEB8A4BAB8950ABE9BA9A5F65_13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